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D023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11.04.2018 </w:t>
      </w:r>
      <w:r w:rsidR="0047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0B61C6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C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17.4pt;width:260.15pt;height:11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9zwQIAALo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" filled="f" stroked="f">
            <v:textbox>
              <w:txbxContent>
                <w:p w:rsidR="006D6B77" w:rsidRDefault="006D6B77" w:rsidP="00A5298B">
                  <w:pPr>
                    <w:tabs>
                      <w:tab w:val="left" w:pos="19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«Программу</w:t>
                  </w:r>
                  <w:r w:rsidR="00A15B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</w:r>
                </w:p>
                <w:p w:rsidR="006D6B77" w:rsidRDefault="006D6B77" w:rsidP="00A5298B">
                  <w:pPr>
                    <w:tabs>
                      <w:tab w:val="left" w:pos="1980"/>
                    </w:tabs>
                    <w:jc w:val="both"/>
                    <w:rPr>
                      <w:szCs w:val="28"/>
                    </w:rPr>
                  </w:pPr>
                </w:p>
                <w:p w:rsidR="006D6B77" w:rsidRDefault="006D6B77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8B" w:rsidRDefault="00A5298B" w:rsidP="00A5298B">
      <w:pPr>
        <w:pStyle w:val="ConsPlusNormal"/>
        <w:tabs>
          <w:tab w:val="left" w:pos="9779"/>
        </w:tabs>
        <w:ind w:right="707"/>
        <w:jc w:val="both"/>
        <w:rPr>
          <w:sz w:val="28"/>
          <w:szCs w:val="28"/>
        </w:rPr>
      </w:pPr>
    </w:p>
    <w:p w:rsidR="00A5298B" w:rsidRPr="00A5298B" w:rsidRDefault="00A5298B" w:rsidP="00DA2AC1">
      <w:pPr>
        <w:pStyle w:val="ConsPlusNormal"/>
        <w:tabs>
          <w:tab w:val="left" w:pos="9779"/>
        </w:tabs>
        <w:ind w:right="849"/>
        <w:jc w:val="both"/>
        <w:rPr>
          <w:sz w:val="28"/>
          <w:szCs w:val="28"/>
        </w:rPr>
      </w:pPr>
    </w:p>
    <w:p w:rsidR="00A5298B" w:rsidRDefault="00473F7F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98B" w:rsidRPr="00A5298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N131-ФЗ "Об общих принципах организации местного самоуправления в Российской Федерации", постановление Правительства Российской Федерации от 01.10.2015 N1050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r w:rsidR="00A5298B">
        <w:rPr>
          <w:sz w:val="28"/>
          <w:szCs w:val="28"/>
        </w:rPr>
        <w:t>постановление</w:t>
      </w:r>
      <w:r w:rsidR="00A5298B" w:rsidRPr="002B7EF2">
        <w:rPr>
          <w:sz w:val="28"/>
          <w:szCs w:val="28"/>
        </w:rPr>
        <w:t xml:space="preserve">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52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298B" w:rsidRPr="00A5298B">
        <w:rPr>
          <w:sz w:val="28"/>
          <w:szCs w:val="28"/>
        </w:rPr>
        <w:t xml:space="preserve">Уставом муниципального образования </w:t>
      </w:r>
      <w:proofErr w:type="spellStart"/>
      <w:r w:rsidR="00A5298B" w:rsidRPr="00A5298B">
        <w:rPr>
          <w:sz w:val="28"/>
          <w:szCs w:val="28"/>
        </w:rPr>
        <w:t>Селезневского</w:t>
      </w:r>
      <w:proofErr w:type="spellEnd"/>
      <w:r w:rsidR="00A5298B" w:rsidRPr="00A5298B">
        <w:rPr>
          <w:sz w:val="28"/>
          <w:szCs w:val="28"/>
        </w:rPr>
        <w:t xml:space="preserve"> сельского поселения, </w:t>
      </w:r>
    </w:p>
    <w:p w:rsid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98B" w:rsidRPr="006616D3" w:rsidRDefault="00A5298B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</w:t>
      </w:r>
      <w:r w:rsidR="00A5298B">
        <w:rPr>
          <w:rFonts w:ascii="Times New Roman" w:eastAsia="Times New Roman" w:hAnsi="Times New Roman"/>
          <w:sz w:val="28"/>
          <w:szCs w:val="28"/>
        </w:rPr>
        <w:t>«Программу</w:t>
      </w:r>
      <w:r w:rsidR="00A5298B" w:rsidRPr="00A5298B">
        <w:rPr>
          <w:rFonts w:ascii="Times New Roman" w:eastAsia="Times New Roman" w:hAnsi="Times New Roman"/>
          <w:sz w:val="28"/>
          <w:szCs w:val="28"/>
        </w:rPr>
        <w:t xml:space="preserve"> комплексного развития социальной инфраструктуры муниципального образования Селезневское сельское поселение на 2018-2028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473F7F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>азования «Велижский район»</w:t>
      </w:r>
      <w:r w:rsidR="00A5298B">
        <w:rPr>
          <w:rFonts w:ascii="Times New Roman" w:hAnsi="Times New Roman" w:cs="Times New Roman"/>
          <w:sz w:val="28"/>
        </w:rPr>
        <w:t xml:space="preserve"> от 15.11.2017</w:t>
      </w:r>
      <w:r w:rsidR="00A5298B" w:rsidRPr="00A5298B">
        <w:rPr>
          <w:rFonts w:ascii="Times New Roman" w:hAnsi="Times New Roman" w:cs="Times New Roman"/>
          <w:sz w:val="28"/>
        </w:rPr>
        <w:t xml:space="preserve"> № 652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0BF" w:rsidRPr="00DC00BF" w:rsidRDefault="00D141F5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образования </w:t>
      </w:r>
      <w:r w:rsidR="008874B2">
        <w:rPr>
          <w:sz w:val="28"/>
          <w:szCs w:val="28"/>
        </w:rPr>
        <w:t>Селезневское сельское</w:t>
      </w:r>
      <w:r w:rsidR="00DC00BF" w:rsidRPr="00DC00BF">
        <w:rPr>
          <w:sz w:val="28"/>
          <w:szCs w:val="28"/>
        </w:rPr>
        <w:t xml:space="preserve"> поселение (далее также –бюджет</w:t>
      </w:r>
      <w:r w:rsidR="008874B2">
        <w:rPr>
          <w:sz w:val="28"/>
          <w:szCs w:val="28"/>
        </w:rPr>
        <w:t xml:space="preserve"> поселения</w:t>
      </w:r>
      <w:r w:rsidR="00DC00BF" w:rsidRPr="00DC00BF">
        <w:rPr>
          <w:sz w:val="28"/>
          <w:szCs w:val="28"/>
        </w:rPr>
        <w:t xml:space="preserve">), средства </w:t>
      </w:r>
      <w:r w:rsidR="008874B2">
        <w:rPr>
          <w:sz w:val="28"/>
          <w:szCs w:val="28"/>
        </w:rPr>
        <w:t>областного</w:t>
      </w:r>
      <w:r w:rsidR="00DC00BF" w:rsidRPr="00DC00BF">
        <w:rPr>
          <w:sz w:val="28"/>
          <w:szCs w:val="28"/>
        </w:rPr>
        <w:t xml:space="preserve"> бюджет</w:t>
      </w:r>
      <w:r w:rsidR="008874B2">
        <w:rPr>
          <w:sz w:val="28"/>
          <w:szCs w:val="28"/>
        </w:rPr>
        <w:t>а</w:t>
      </w:r>
      <w:r w:rsidR="00DC00BF" w:rsidRPr="00DC00BF">
        <w:rPr>
          <w:sz w:val="28"/>
          <w:szCs w:val="28"/>
        </w:rPr>
        <w:t xml:space="preserve">, внебюджетные </w:t>
      </w:r>
      <w:r w:rsidR="008874B2">
        <w:rPr>
          <w:sz w:val="28"/>
          <w:szCs w:val="28"/>
        </w:rPr>
        <w:t>средства</w:t>
      </w:r>
      <w:r w:rsidR="00DC00BF" w:rsidRPr="00DC00BF">
        <w:rPr>
          <w:sz w:val="28"/>
          <w:szCs w:val="28"/>
        </w:rPr>
        <w:t>.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        Общий объем финансирования Программы за 2018-2028 годы составляет </w:t>
      </w:r>
      <w:r w:rsidR="008874B2">
        <w:rPr>
          <w:szCs w:val="28"/>
        </w:rPr>
        <w:t>8234,5</w:t>
      </w:r>
      <w:r w:rsidR="00AD5B5A">
        <w:rPr>
          <w:szCs w:val="28"/>
        </w:rPr>
        <w:t>0</w:t>
      </w:r>
      <w:r>
        <w:rPr>
          <w:sz w:val="27"/>
          <w:szCs w:val="27"/>
        </w:rPr>
        <w:t xml:space="preserve"> тыс. руб.: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областной бюджет -  </w:t>
      </w:r>
      <w:r w:rsidR="008874B2">
        <w:rPr>
          <w:sz w:val="27"/>
          <w:szCs w:val="27"/>
        </w:rPr>
        <w:t>6282,00</w:t>
      </w:r>
      <w:r>
        <w:rPr>
          <w:sz w:val="27"/>
          <w:szCs w:val="27"/>
        </w:rPr>
        <w:t xml:space="preserve"> тыс. руб. 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бюджет поселения – </w:t>
      </w:r>
      <w:r w:rsidR="008874B2">
        <w:rPr>
          <w:sz w:val="27"/>
          <w:szCs w:val="27"/>
        </w:rPr>
        <w:t>754,00</w:t>
      </w:r>
      <w:r>
        <w:rPr>
          <w:sz w:val="27"/>
          <w:szCs w:val="27"/>
        </w:rPr>
        <w:t xml:space="preserve"> тыс. руб. 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>внебюджетные средства —</w:t>
      </w:r>
      <w:r w:rsidR="008874B2">
        <w:rPr>
          <w:sz w:val="27"/>
          <w:szCs w:val="27"/>
        </w:rPr>
        <w:t>1198,50</w:t>
      </w:r>
      <w:r>
        <w:rPr>
          <w:sz w:val="27"/>
          <w:szCs w:val="27"/>
        </w:rPr>
        <w:t xml:space="preserve"> тыс. руб.</w:t>
      </w:r>
    </w:p>
    <w:p w:rsidR="009A01A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 по годам реализации: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2018 - 2020</w:t>
      </w:r>
      <w:r w:rsidRPr="00184191">
        <w:rPr>
          <w:sz w:val="28"/>
          <w:szCs w:val="28"/>
        </w:rPr>
        <w:t xml:space="preserve"> годы –</w:t>
      </w:r>
      <w:r w:rsidR="008874B2">
        <w:rPr>
          <w:sz w:val="28"/>
          <w:szCs w:val="28"/>
        </w:rPr>
        <w:t>4569,00</w:t>
      </w:r>
      <w:r w:rsidRPr="00184191">
        <w:rPr>
          <w:sz w:val="28"/>
          <w:szCs w:val="28"/>
        </w:rPr>
        <w:t>тыс. руб.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3072,0</w:t>
      </w:r>
      <w:r w:rsidR="008874B2">
        <w:rPr>
          <w:sz w:val="28"/>
          <w:szCs w:val="28"/>
        </w:rPr>
        <w:t>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– </w:t>
      </w:r>
      <w:r w:rsidR="008874B2">
        <w:rPr>
          <w:sz w:val="28"/>
          <w:szCs w:val="28"/>
        </w:rPr>
        <w:t>387,50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1109,5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2021- 2024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>3000,</w:t>
      </w:r>
      <w:r w:rsidRPr="00184191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 w:rsidRPr="00184191">
        <w:rPr>
          <w:sz w:val="28"/>
          <w:szCs w:val="28"/>
        </w:rPr>
        <w:t xml:space="preserve">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2700,0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- </w:t>
      </w:r>
      <w:r>
        <w:rPr>
          <w:sz w:val="28"/>
          <w:szCs w:val="28"/>
        </w:rPr>
        <w:t>300,</w:t>
      </w:r>
      <w:r w:rsidRPr="0018419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0 тыс. руб. 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2025- 2028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665,5 </w:t>
      </w:r>
      <w:r w:rsidRPr="00184191">
        <w:rPr>
          <w:sz w:val="28"/>
          <w:szCs w:val="28"/>
        </w:rPr>
        <w:t>тыс. руб.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>–66,5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191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 xml:space="preserve">89,0 </w:t>
      </w:r>
      <w:r w:rsidRPr="00184191">
        <w:rPr>
          <w:rFonts w:ascii="Times New Roman" w:hAnsi="Times New Roman" w:cs="Times New Roman"/>
          <w:sz w:val="28"/>
          <w:szCs w:val="28"/>
        </w:rPr>
        <w:t>тыс. руб.</w:t>
      </w:r>
    </w:p>
    <w:p w:rsidR="002F2183" w:rsidRDefault="002F2183" w:rsidP="00DA2AC1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B5A" w:rsidRPr="00AD5B5A" w:rsidRDefault="00973D17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ПО РЕСУРСНОМУ ОБЕСПЕЧЕНИЮ КОМПЛЕКСНОЙ ПРОГРАММЫ</w:t>
      </w:r>
      <w:r w:rsidR="00AD5B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эффектов: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1. В сфере физической культуры и спорта Селезневского сельского поселения: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жителей поселения, систематически занимающихся физкультурой и спортом, с 20,0% в 2016 году до уровня 56,0 % к 2028 году (увеличение на 36,0%);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уровня обеспеченности населения поселения плоскостным спортивным сооружением с 0 шт. в 2016 году до уровня 1шт. к 2028 году;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уровня обеспеченности населения поселения детскими спортивными площадками к 2028 году;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2. В сфере культуры Селезневского сельского поселения:</w:t>
      </w:r>
    </w:p>
    <w:p w:rsid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удельного веса детей и подростков, занимающихся в системе культурного образования.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Общий объем финансирования Программы за 2018-2028 годы составляет </w:t>
      </w:r>
      <w:r>
        <w:rPr>
          <w:szCs w:val="28"/>
        </w:rPr>
        <w:t>8234,50</w:t>
      </w:r>
      <w:r>
        <w:rPr>
          <w:sz w:val="27"/>
          <w:szCs w:val="27"/>
        </w:rPr>
        <w:t xml:space="preserve"> тыс. руб.: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областной бюджет -  6282,00 тыс. руб. 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бюджет поселения – 754,00 тыс. руб. 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>внебюджетные средства —1198,50 тыс. руб.</w:t>
      </w:r>
    </w:p>
    <w:p w:rsidR="00AD5B5A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 реализации: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2018 - 2020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4569,00 </w:t>
      </w:r>
      <w:r w:rsidRPr="00184191">
        <w:rPr>
          <w:sz w:val="28"/>
          <w:szCs w:val="28"/>
        </w:rPr>
        <w:t>тыс. руб.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3072,00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– </w:t>
      </w:r>
      <w:r>
        <w:rPr>
          <w:sz w:val="28"/>
          <w:szCs w:val="28"/>
        </w:rPr>
        <w:t>387,50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1109,5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2021- 2024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>3000,</w:t>
      </w:r>
      <w:r w:rsidRPr="00184191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 w:rsidRPr="00184191">
        <w:rPr>
          <w:sz w:val="28"/>
          <w:szCs w:val="28"/>
        </w:rPr>
        <w:t xml:space="preserve">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2700,0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- </w:t>
      </w:r>
      <w:r>
        <w:rPr>
          <w:sz w:val="28"/>
          <w:szCs w:val="28"/>
        </w:rPr>
        <w:t>300,</w:t>
      </w:r>
      <w:r w:rsidRPr="0018419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0 тыс. руб. 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2025- 2028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665,5 </w:t>
      </w:r>
      <w:r w:rsidRPr="00184191">
        <w:rPr>
          <w:sz w:val="28"/>
          <w:szCs w:val="28"/>
        </w:rPr>
        <w:t>тыс. руб.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>–66,5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F869FA" w:rsidRPr="00BF6649" w:rsidRDefault="00AD5B5A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</w:t>
      </w:r>
      <w:r>
        <w:rPr>
          <w:sz w:val="28"/>
          <w:szCs w:val="28"/>
        </w:rPr>
        <w:t xml:space="preserve">89,0 </w:t>
      </w:r>
      <w:r w:rsidRPr="00184191">
        <w:rPr>
          <w:sz w:val="28"/>
          <w:szCs w:val="28"/>
        </w:rPr>
        <w:t>тыс. руб</w:t>
      </w:r>
      <w:r>
        <w:rPr>
          <w:sz w:val="28"/>
          <w:szCs w:val="28"/>
        </w:rPr>
        <w:t>..</w:t>
      </w:r>
    </w:p>
    <w:p w:rsidR="005115A9" w:rsidRPr="00BF6649" w:rsidRDefault="00472D85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2 к Программе изложить в редакции согласно приложению</w:t>
      </w:r>
      <w:r w:rsidR="0097464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46" w:rsidRDefault="005115A9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подписания</w:t>
      </w:r>
      <w:r w:rsidR="00BA7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39" w:rsidRDefault="005115A9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http://velizh.admin-smolensk.ru/ в информационно-телекоммуникационной сети «Интернет».</w:t>
      </w: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726D51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DA2AC1">
      <w:pPr>
        <w:tabs>
          <w:tab w:val="left" w:pos="851"/>
          <w:tab w:val="left" w:pos="6420"/>
          <w:tab w:val="left" w:pos="9356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974649">
          <w:pgSz w:w="11906" w:h="16838"/>
          <w:pgMar w:top="992" w:right="0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Е.А.Шаловская</w:t>
      </w:r>
      <w:proofErr w:type="spellEnd"/>
    </w:p>
    <w:p w:rsidR="00136441" w:rsidRDefault="00136441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5D0237" w:rsidRPr="005D0237" w:rsidRDefault="005D0237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11.04.2018  № 187</w:t>
      </w:r>
    </w:p>
    <w:p w:rsidR="00472D85" w:rsidRDefault="00F07F5C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47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«Комплексного</w:t>
      </w:r>
    </w:p>
    <w:p w:rsidR="00472D85" w:rsidRDefault="00472D85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социальнойинфраструктуры</w:t>
      </w:r>
    </w:p>
    <w:p w:rsidR="001E0F4F" w:rsidRDefault="00472D85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образованияСелезневское</w:t>
      </w:r>
    </w:p>
    <w:p w:rsidR="00472D85" w:rsidRDefault="001E0F4F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2018-2028 годы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2D85" w:rsidRPr="00472D85" w:rsidRDefault="00472D85" w:rsidP="00473F7F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  № 652</w:t>
      </w:r>
    </w:p>
    <w:p w:rsidR="00161FA2" w:rsidRDefault="00161FA2" w:rsidP="006D6B77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85" w:rsidRDefault="00472D85" w:rsidP="00472D85">
      <w:pPr>
        <w:pStyle w:val="ConsPlusNormal"/>
        <w:jc w:val="center"/>
        <w:rPr>
          <w:b/>
          <w:bCs/>
        </w:rPr>
      </w:pPr>
    </w:p>
    <w:p w:rsidR="00472D85" w:rsidRDefault="00472D85" w:rsidP="00472D85">
      <w:pPr>
        <w:autoSpaceDE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72D85" w:rsidRDefault="00472D85" w:rsidP="00472D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по проектированию, строительству и реконструкции</w:t>
      </w:r>
    </w:p>
    <w:p w:rsidR="00472D85" w:rsidRDefault="00472D85" w:rsidP="00472D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 социальной инфраструктуры Селезневского сельского поселения на 2018-2028 годы</w:t>
      </w:r>
    </w:p>
    <w:p w:rsidR="00472D85" w:rsidRDefault="00472D85" w:rsidP="00472D85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15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1494"/>
        <w:gridCol w:w="1494"/>
        <w:gridCol w:w="926"/>
        <w:gridCol w:w="1060"/>
        <w:gridCol w:w="1134"/>
        <w:gridCol w:w="992"/>
        <w:gridCol w:w="992"/>
        <w:gridCol w:w="851"/>
        <w:gridCol w:w="850"/>
        <w:gridCol w:w="851"/>
        <w:gridCol w:w="992"/>
        <w:gridCol w:w="992"/>
        <w:gridCol w:w="992"/>
        <w:gridCol w:w="1134"/>
      </w:tblGrid>
      <w:tr w:rsidR="001E0F4F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F4F" w:rsidRPr="00285F4F" w:rsidRDefault="001E0F4F" w:rsidP="00FB0ADF">
            <w:pPr>
              <w:pStyle w:val="ConsPlusNormal"/>
              <w:jc w:val="center"/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Наименование мероприятия, источник финансирования</w:t>
            </w:r>
          </w:p>
        </w:tc>
        <w:tc>
          <w:tcPr>
            <w:tcW w:w="117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Потребность в финансовых средствах, тыс. рублей</w:t>
            </w:r>
          </w:p>
        </w:tc>
      </w:tr>
      <w:tr w:rsidR="001E0F4F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BD284C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Всего</w:t>
            </w:r>
          </w:p>
        </w:tc>
        <w:tc>
          <w:tcPr>
            <w:tcW w:w="108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в том числе по годам:</w:t>
            </w:r>
          </w:p>
        </w:tc>
      </w:tr>
      <w:tr w:rsidR="001E0F4F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BD284C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2027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2028</w:t>
            </w:r>
          </w:p>
        </w:tc>
      </w:tr>
      <w:tr w:rsidR="001E0F4F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1</w:t>
            </w: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F4F" w:rsidRPr="00285F4F" w:rsidRDefault="001E0F4F" w:rsidP="00FB0ADF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14</w:t>
            </w:r>
          </w:p>
        </w:tc>
      </w:tr>
      <w:tr w:rsidR="00472D85" w:rsidRPr="00BD284C" w:rsidTr="00472D85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D85" w:rsidRPr="00285F4F" w:rsidRDefault="00472D85" w:rsidP="00FB0ADF">
            <w:pPr>
              <w:pStyle w:val="ConsPlusNormal"/>
            </w:pPr>
            <w:r w:rsidRPr="00285F4F">
              <w:t>Всего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8234,50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843027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1569</w:t>
            </w:r>
            <w:r w:rsidR="00472D85" w:rsidRPr="00285F4F">
              <w:rPr>
                <w:b/>
              </w:rPr>
              <w:t>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1700,0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1300,0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325,5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340,0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6282,00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882,0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1020,0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1170,0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250,0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260,0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754,00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843027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172,50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85,0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130,0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32,5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34,0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1198,50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514,5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595,0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43,0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46,0</w:t>
            </w:r>
            <w:r w:rsidR="00FB0ADF" w:rsidRPr="00285F4F">
              <w:rPr>
                <w:b/>
              </w:rPr>
              <w:t>0</w:t>
            </w:r>
          </w:p>
        </w:tc>
      </w:tr>
      <w:tr w:rsidR="001E0F4F" w:rsidRPr="00BD284C" w:rsidTr="00FB0ADF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1.1.Строительство и реставрация памятников истории и культуры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4965,5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325,5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340,0</w:t>
            </w:r>
            <w:r w:rsidR="00FB0ADF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4380,0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2700,0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250,0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260,0</w:t>
            </w:r>
            <w:r w:rsidR="00774655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496,5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300,0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32,5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34,0</w:t>
            </w:r>
            <w:r w:rsidR="00774655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89,0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0,0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43,0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46,0</w:t>
            </w:r>
            <w:r w:rsidR="00774655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1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Строительство памятного знака в д.Селезни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2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 xml:space="preserve">Реконструкция воинского захоронения в урочище </w:t>
            </w:r>
            <w:proofErr w:type="spellStart"/>
            <w:r w:rsidRPr="00285F4F">
              <w:t>Ланское</w:t>
            </w:r>
            <w:proofErr w:type="spellEnd"/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2700,</w:t>
            </w:r>
            <w:r w:rsidR="00FB0ADF" w:rsidRPr="00285F4F">
              <w:t>0</w:t>
            </w: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2700,0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Standard"/>
              <w:rPr>
                <w:sz w:val="24"/>
                <w:szCs w:val="24"/>
              </w:rPr>
            </w:pPr>
            <w:r w:rsidRPr="00BD284C">
              <w:rPr>
                <w:sz w:val="24"/>
                <w:szCs w:val="24"/>
              </w:rPr>
              <w:t>3</w:t>
            </w:r>
          </w:p>
        </w:tc>
        <w:tc>
          <w:tcPr>
            <w:tcW w:w="1475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Реконструкция</w:t>
            </w:r>
            <w:r w:rsidR="00473F7F">
              <w:t xml:space="preserve"> </w:t>
            </w:r>
            <w:r w:rsidRPr="00285F4F">
              <w:t xml:space="preserve">памятника в </w:t>
            </w:r>
            <w:proofErr w:type="spellStart"/>
            <w:r w:rsidRPr="00285F4F">
              <w:t>д.Сертея</w:t>
            </w:r>
            <w:proofErr w:type="spellEnd"/>
            <w:r w:rsidRPr="00285F4F">
              <w:t xml:space="preserve"> и </w:t>
            </w:r>
            <w:proofErr w:type="spellStart"/>
            <w:r w:rsidRPr="00285F4F">
              <w:t>д.Белоусово</w:t>
            </w:r>
            <w:proofErr w:type="spellEnd"/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665,5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325,5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340,0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510</w:t>
            </w:r>
            <w:r w:rsidR="00FB0ADF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250,0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260,0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66,5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34,0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89</w:t>
            </w:r>
            <w:r w:rsidR="00FB0ADF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43,0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46,0</w:t>
            </w:r>
            <w:r w:rsidR="00FB0ADF" w:rsidRPr="00285F4F">
              <w:t>0</w:t>
            </w:r>
          </w:p>
        </w:tc>
      </w:tr>
      <w:tr w:rsidR="001E0F4F" w:rsidRPr="00BD284C" w:rsidTr="00FB0ADF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1.2. Физическая культура и спорт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 по п. 1.2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3269,00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1569,0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1902</w:t>
            </w:r>
            <w:r w:rsidR="00343A55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882,0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1020,0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343A55" w:rsidP="00774655">
            <w:pPr>
              <w:pStyle w:val="ConsPlusNormal"/>
            </w:pPr>
            <w:r w:rsidRPr="00285F4F">
              <w:t>257,50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172,5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85,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1109,5</w:t>
            </w:r>
            <w:r w:rsidR="00343A55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514,5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595,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1E0F4F" w:rsidRPr="00BD284C" w:rsidTr="00136441">
        <w:trPr>
          <w:trHeight w:val="299"/>
        </w:trPr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spacing w:before="100" w:after="100"/>
              <w:jc w:val="both"/>
            </w:pP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4</w:t>
            </w:r>
          </w:p>
        </w:tc>
        <w:tc>
          <w:tcPr>
            <w:tcW w:w="1475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Устройство спортивной игровой площадки в д.Селезни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F6FC5">
            <w:pPr>
              <w:pStyle w:val="ConsPlusNormal"/>
            </w:pPr>
            <w:r w:rsidRPr="00285F4F">
              <w:t>1</w:t>
            </w:r>
            <w:r w:rsidR="003F6FC5" w:rsidRPr="00285F4F">
              <w:t>470</w:t>
            </w:r>
            <w:r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F6FC5">
            <w:pPr>
              <w:pStyle w:val="ConsPlusNormal"/>
            </w:pPr>
            <w:r w:rsidRPr="00285F4F">
              <w:t>1</w:t>
            </w:r>
            <w:r w:rsidR="003F6FC5" w:rsidRPr="00285F4F">
              <w:t>470</w:t>
            </w:r>
            <w:r w:rsidRPr="00285F4F"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473F7F" w:rsidP="00343A55">
            <w:pPr>
              <w:pStyle w:val="ConsPlusNormal"/>
            </w:pPr>
            <w:r w:rsidRPr="00136441">
              <w:t>1700,00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882,00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882,00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473F7F" w:rsidP="00343A55">
            <w:pPr>
              <w:pStyle w:val="ConsPlusNormal"/>
            </w:pPr>
            <w:r w:rsidRPr="00136441">
              <w:t>1020,00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3F6FC5" w:rsidP="00343A55">
            <w:pPr>
              <w:pStyle w:val="ConsPlusNormal"/>
            </w:pPr>
            <w:r w:rsidRPr="00285F4F">
              <w:t>73,5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3F6FC5" w:rsidP="00343A55">
            <w:pPr>
              <w:pStyle w:val="ConsPlusNormal"/>
            </w:pPr>
            <w:r w:rsidRPr="00285F4F">
              <w:t>73,5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473F7F" w:rsidP="00343A55">
            <w:pPr>
              <w:pStyle w:val="ConsPlusNormal"/>
            </w:pPr>
            <w:r w:rsidRPr="00136441">
              <w:t>85,00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proofErr w:type="spellStart"/>
            <w:r w:rsidRPr="00285F4F">
              <w:t>Внебюджет</w:t>
            </w:r>
            <w:proofErr w:type="spellEnd"/>
            <w:r w:rsidR="00473F7F">
              <w:t xml:space="preserve"> </w:t>
            </w:r>
            <w:proofErr w:type="spellStart"/>
            <w:r w:rsidRPr="00285F4F">
              <w:t>ные</w:t>
            </w:r>
            <w:proofErr w:type="spellEnd"/>
            <w:r w:rsidRPr="00285F4F">
              <w:t xml:space="preserve">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514,50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514,50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473F7F" w:rsidP="00343A55">
            <w:pPr>
              <w:pStyle w:val="ConsPlusNormal"/>
            </w:pPr>
            <w:r w:rsidRPr="00285F4F">
              <w:t>595,00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343A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A55" w:rsidRPr="00BD284C" w:rsidRDefault="00343A55" w:rsidP="00343A55">
            <w:pPr>
              <w:pStyle w:val="ConsPlusNormal"/>
            </w:pPr>
            <w:r w:rsidRPr="00BD284C">
              <w:t>5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A55" w:rsidRPr="00136441" w:rsidRDefault="00343A55" w:rsidP="00343A55">
            <w:pPr>
              <w:pStyle w:val="ConsPlusNormal"/>
            </w:pPr>
            <w:r w:rsidRPr="00136441">
              <w:t>Устройство игровой детской площадки д. Селезни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F6FC5">
            <w:pPr>
              <w:pStyle w:val="ConsPlusNormal"/>
            </w:pPr>
            <w:r w:rsidRPr="00136441">
              <w:t>17</w:t>
            </w:r>
            <w:r w:rsidR="003F6FC5" w:rsidRPr="00136441">
              <w:t>99</w:t>
            </w:r>
            <w:r w:rsidRPr="00136441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473F7F" w:rsidP="003066A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1020,00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473F7F" w:rsidP="00343A55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285F4F" w:rsidP="00343A55">
            <w:pPr>
              <w:pStyle w:val="ConsPlusNormal"/>
            </w:pPr>
            <w:r w:rsidRPr="00136441">
              <w:t>184,00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3F6FC5" w:rsidP="00343A55">
            <w:pPr>
              <w:pStyle w:val="ConsPlusNormal"/>
            </w:pPr>
            <w:r w:rsidRPr="00136441">
              <w:t>99,</w:t>
            </w:r>
            <w:r w:rsidR="00FB0ADF"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473F7F" w:rsidP="00343A55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proofErr w:type="spellStart"/>
            <w:r w:rsidRPr="00285F4F">
              <w:t>Внебюджет</w:t>
            </w:r>
            <w:proofErr w:type="spellEnd"/>
            <w:r w:rsidR="00473F7F">
              <w:t xml:space="preserve"> </w:t>
            </w:r>
            <w:proofErr w:type="spellStart"/>
            <w:r w:rsidRPr="00285F4F">
              <w:t>ные</w:t>
            </w:r>
            <w:proofErr w:type="spellEnd"/>
            <w:r w:rsidRPr="00285F4F">
              <w:t xml:space="preserve">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595,00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473F7F" w:rsidP="00343A55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</w:tbl>
    <w:p w:rsidR="00472D85" w:rsidRPr="00951AD4" w:rsidRDefault="00472D85" w:rsidP="00472D85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D85" w:rsidRPr="00951AD4" w:rsidSect="00136441">
      <w:pgSz w:w="16838" w:h="11906" w:orient="landscape"/>
      <w:pgMar w:top="567" w:right="822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12F08"/>
    <w:rsid w:val="000035F7"/>
    <w:rsid w:val="0000503E"/>
    <w:rsid w:val="00025A6F"/>
    <w:rsid w:val="00046AFF"/>
    <w:rsid w:val="0005787E"/>
    <w:rsid w:val="000976E7"/>
    <w:rsid w:val="000B0702"/>
    <w:rsid w:val="000B187D"/>
    <w:rsid w:val="000B210F"/>
    <w:rsid w:val="000B4FD3"/>
    <w:rsid w:val="000B61C6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36441"/>
    <w:rsid w:val="00150867"/>
    <w:rsid w:val="00157325"/>
    <w:rsid w:val="00161FA2"/>
    <w:rsid w:val="0016707B"/>
    <w:rsid w:val="001B60E3"/>
    <w:rsid w:val="001D4840"/>
    <w:rsid w:val="001D4938"/>
    <w:rsid w:val="001D52B4"/>
    <w:rsid w:val="001D72F9"/>
    <w:rsid w:val="001E0F4F"/>
    <w:rsid w:val="001E6F1B"/>
    <w:rsid w:val="00203730"/>
    <w:rsid w:val="00240C04"/>
    <w:rsid w:val="002428DF"/>
    <w:rsid w:val="002515F6"/>
    <w:rsid w:val="0027656D"/>
    <w:rsid w:val="0028251D"/>
    <w:rsid w:val="00285F4F"/>
    <w:rsid w:val="002A6D30"/>
    <w:rsid w:val="002B58CE"/>
    <w:rsid w:val="002C65F3"/>
    <w:rsid w:val="002E0B89"/>
    <w:rsid w:val="002E31FB"/>
    <w:rsid w:val="002F2183"/>
    <w:rsid w:val="003066AB"/>
    <w:rsid w:val="00312F08"/>
    <w:rsid w:val="00320E39"/>
    <w:rsid w:val="003331A6"/>
    <w:rsid w:val="00335FDC"/>
    <w:rsid w:val="00343A55"/>
    <w:rsid w:val="00343CD3"/>
    <w:rsid w:val="00344293"/>
    <w:rsid w:val="003850BD"/>
    <w:rsid w:val="00391E20"/>
    <w:rsid w:val="00396C8A"/>
    <w:rsid w:val="003A2A58"/>
    <w:rsid w:val="003B5221"/>
    <w:rsid w:val="003B7C37"/>
    <w:rsid w:val="003D0A5A"/>
    <w:rsid w:val="003D6541"/>
    <w:rsid w:val="003F6FC5"/>
    <w:rsid w:val="0041288C"/>
    <w:rsid w:val="0041679F"/>
    <w:rsid w:val="00423285"/>
    <w:rsid w:val="004232BB"/>
    <w:rsid w:val="00433877"/>
    <w:rsid w:val="004341D1"/>
    <w:rsid w:val="00444C19"/>
    <w:rsid w:val="004458C3"/>
    <w:rsid w:val="00445B2C"/>
    <w:rsid w:val="00466BF3"/>
    <w:rsid w:val="00466E53"/>
    <w:rsid w:val="00472D85"/>
    <w:rsid w:val="00473F7F"/>
    <w:rsid w:val="00481D39"/>
    <w:rsid w:val="004B0EF8"/>
    <w:rsid w:val="004D087C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82F6A"/>
    <w:rsid w:val="0058317B"/>
    <w:rsid w:val="005920F6"/>
    <w:rsid w:val="00594DDD"/>
    <w:rsid w:val="005A3B9E"/>
    <w:rsid w:val="005B7A11"/>
    <w:rsid w:val="005C00D9"/>
    <w:rsid w:val="005C05E0"/>
    <w:rsid w:val="005C078D"/>
    <w:rsid w:val="005C253F"/>
    <w:rsid w:val="005C7C21"/>
    <w:rsid w:val="005D0237"/>
    <w:rsid w:val="005E5387"/>
    <w:rsid w:val="00603B89"/>
    <w:rsid w:val="0063664B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7"/>
    <w:rsid w:val="006D6B7A"/>
    <w:rsid w:val="006F0D8F"/>
    <w:rsid w:val="00726D51"/>
    <w:rsid w:val="00731A31"/>
    <w:rsid w:val="0075281F"/>
    <w:rsid w:val="007675EF"/>
    <w:rsid w:val="00774655"/>
    <w:rsid w:val="007755D1"/>
    <w:rsid w:val="00780D28"/>
    <w:rsid w:val="007A4807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43027"/>
    <w:rsid w:val="00864E76"/>
    <w:rsid w:val="00880AFA"/>
    <w:rsid w:val="00881257"/>
    <w:rsid w:val="008874B2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01A1"/>
    <w:rsid w:val="009A5443"/>
    <w:rsid w:val="009A6BE1"/>
    <w:rsid w:val="009B52C1"/>
    <w:rsid w:val="009D0281"/>
    <w:rsid w:val="009D44EE"/>
    <w:rsid w:val="009E58C1"/>
    <w:rsid w:val="00A12BF7"/>
    <w:rsid w:val="00A15B57"/>
    <w:rsid w:val="00A17FBD"/>
    <w:rsid w:val="00A213F5"/>
    <w:rsid w:val="00A24D2A"/>
    <w:rsid w:val="00A3644F"/>
    <w:rsid w:val="00A5298B"/>
    <w:rsid w:val="00A646E3"/>
    <w:rsid w:val="00A7650B"/>
    <w:rsid w:val="00A779CA"/>
    <w:rsid w:val="00A805C3"/>
    <w:rsid w:val="00A87BB7"/>
    <w:rsid w:val="00AA6DE3"/>
    <w:rsid w:val="00AB58E4"/>
    <w:rsid w:val="00AD487D"/>
    <w:rsid w:val="00AD5818"/>
    <w:rsid w:val="00AD5B5A"/>
    <w:rsid w:val="00AE7EDA"/>
    <w:rsid w:val="00AF2C4E"/>
    <w:rsid w:val="00B07715"/>
    <w:rsid w:val="00B12E7B"/>
    <w:rsid w:val="00B25DF7"/>
    <w:rsid w:val="00B27477"/>
    <w:rsid w:val="00B5063C"/>
    <w:rsid w:val="00B51E43"/>
    <w:rsid w:val="00B540CC"/>
    <w:rsid w:val="00B54A66"/>
    <w:rsid w:val="00B77A37"/>
    <w:rsid w:val="00BA7B46"/>
    <w:rsid w:val="00BD4660"/>
    <w:rsid w:val="00BF08E0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C19"/>
    <w:rsid w:val="00DA2AC1"/>
    <w:rsid w:val="00DA4A23"/>
    <w:rsid w:val="00DC00BF"/>
    <w:rsid w:val="00E0269E"/>
    <w:rsid w:val="00E210A5"/>
    <w:rsid w:val="00E23866"/>
    <w:rsid w:val="00E34ADF"/>
    <w:rsid w:val="00E40BEA"/>
    <w:rsid w:val="00E45327"/>
    <w:rsid w:val="00E459D2"/>
    <w:rsid w:val="00E72FC4"/>
    <w:rsid w:val="00EE1F19"/>
    <w:rsid w:val="00F00BAB"/>
    <w:rsid w:val="00F06DBD"/>
    <w:rsid w:val="00F07F5C"/>
    <w:rsid w:val="00F24AEF"/>
    <w:rsid w:val="00F60D6E"/>
    <w:rsid w:val="00F80B2A"/>
    <w:rsid w:val="00F869FA"/>
    <w:rsid w:val="00F8705D"/>
    <w:rsid w:val="00F94632"/>
    <w:rsid w:val="00F97909"/>
    <w:rsid w:val="00FB0ADF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paragraph" w:customStyle="1" w:styleId="Standard">
    <w:name w:val="Standard"/>
    <w:rsid w:val="009A01A1"/>
    <w:pPr>
      <w:suppressAutoHyphens/>
      <w:autoSpaceDN w:val="0"/>
      <w:spacing w:after="154"/>
      <w:ind w:left="257" w:right="-5" w:hanging="10"/>
      <w:jc w:val="both"/>
      <w:textAlignment w:val="baseline"/>
    </w:pPr>
    <w:rPr>
      <w:color w:val="000008"/>
      <w:kern w:val="3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129E-0ADF-4526-A447-B4CB181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20</cp:revision>
  <cp:lastPrinted>2018-04-13T11:12:00Z</cp:lastPrinted>
  <dcterms:created xsi:type="dcterms:W3CDTF">2018-04-11T08:52:00Z</dcterms:created>
  <dcterms:modified xsi:type="dcterms:W3CDTF">2018-05-21T11:01:00Z</dcterms:modified>
</cp:coreProperties>
</file>